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C4640" w14:textId="1D5CEBA3"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#87ah-NR</w:t>
      </w:r>
      <w:r w:rsidRPr="00327997">
        <w:tab/>
      </w:r>
      <w:r w:rsidR="00790B99" w:rsidRPr="00EF5AF2">
        <w:t>R1</w:t>
      </w:r>
      <w:r w:rsidR="00091557" w:rsidRPr="00EF5AF2">
        <w:t>-</w:t>
      </w:r>
      <w:r w:rsidR="005F3025" w:rsidRPr="00EF5AF2">
        <w:t>1</w:t>
      </w:r>
      <w:r w:rsidR="00A85C6C" w:rsidRPr="00EF5AF2">
        <w:t>7</w:t>
      </w:r>
      <w:r w:rsidR="00EF5AF2" w:rsidRPr="00EF5AF2">
        <w:t>00753</w:t>
      </w:r>
    </w:p>
    <w:p w14:paraId="1E400F6C"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1A9C539D" w14:textId="77777777" w:rsidR="00E90E49" w:rsidRPr="00CE0424" w:rsidRDefault="00E90E49" w:rsidP="00357380">
      <w:pPr>
        <w:pStyle w:val="3GPPHeader"/>
      </w:pPr>
    </w:p>
    <w:p w14:paraId="7A407C68" w14:textId="77777777" w:rsidR="00E90E49" w:rsidRPr="00327997" w:rsidRDefault="003D3C45" w:rsidP="00327997">
      <w:pPr>
        <w:pStyle w:val="3GPPHeader"/>
      </w:pPr>
      <w:r w:rsidRPr="00327997">
        <w:t>Source:</w:t>
      </w:r>
      <w:r w:rsidR="00E90E49" w:rsidRPr="00327997">
        <w:tab/>
      </w:r>
      <w:r w:rsidR="00F64C2B" w:rsidRPr="00327997">
        <w:t>Ericsson</w:t>
      </w:r>
    </w:p>
    <w:p w14:paraId="16F1A1D6" w14:textId="78B4A5ED" w:rsidR="00E90E49" w:rsidRPr="00327997" w:rsidRDefault="003D3C45" w:rsidP="00327997">
      <w:pPr>
        <w:pStyle w:val="3GPPHeader"/>
      </w:pPr>
      <w:r w:rsidRPr="00327997">
        <w:t>Title:</w:t>
      </w:r>
      <w:r w:rsidR="00E90E49" w:rsidRPr="00327997">
        <w:tab/>
      </w:r>
      <w:r w:rsidR="00F07C24">
        <w:t>About interference measurements</w:t>
      </w:r>
    </w:p>
    <w:p w14:paraId="4EDA528D" w14:textId="77777777" w:rsidR="00952A24" w:rsidRPr="00327997" w:rsidRDefault="00952A24" w:rsidP="00327997">
      <w:pPr>
        <w:pStyle w:val="3GPPHeader"/>
      </w:pPr>
      <w:r w:rsidRPr="00327997">
        <w:t>Agenda Item:</w:t>
      </w:r>
      <w:r w:rsidRPr="00327997">
        <w:tab/>
      </w:r>
      <w:r w:rsidR="00BB3E70">
        <w:t>5</w:t>
      </w:r>
      <w:r w:rsidR="00480C56">
        <w:t>.1.2.2</w:t>
      </w:r>
    </w:p>
    <w:p w14:paraId="289DD3D3"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BA5E069" w14:textId="18A582E4" w:rsidR="00B07D9F" w:rsidRDefault="00B07D9F" w:rsidP="00F07C24">
      <w:pPr>
        <w:pStyle w:val="Heading1"/>
      </w:pPr>
      <w:r>
        <w:t>Interference measurement resources</w:t>
      </w:r>
    </w:p>
    <w:p w14:paraId="0998E96C" w14:textId="440D4919" w:rsidR="000763F4" w:rsidRDefault="00B07D9F" w:rsidP="00B07D9F">
      <w:r>
        <w:t xml:space="preserve">In LTE TM10, interference measurement resources IMR was introduced which gives the benefit that the CSI measurement is </w:t>
      </w:r>
      <w:r w:rsidR="00B67179">
        <w:t>better</w:t>
      </w:r>
      <w:r>
        <w:t xml:space="preserve"> defined</w:t>
      </w:r>
      <w:r w:rsidR="000763F4">
        <w:t xml:space="preserve"> compared to previous TMs where interference measurements are undefined</w:t>
      </w:r>
      <w:r>
        <w:t>.</w:t>
      </w:r>
      <w:r w:rsidR="00B67179">
        <w:t xml:space="preserve"> </w:t>
      </w:r>
      <w:r w:rsidR="000763F4">
        <w:t xml:space="preserve">This gives a performance enhancement of TM10 over e.g. TM9 even in non-CoMP scenarios. (Although TM10 was developed in CoMP WI, the transmission mode gives benefits also for single cell SU-MIMO operation). </w:t>
      </w:r>
    </w:p>
    <w:p w14:paraId="209B245F" w14:textId="6E7D38D5" w:rsidR="00B07D9F" w:rsidRDefault="00A218C8" w:rsidP="00B07D9F">
      <w:r>
        <w:t xml:space="preserve">The LTE </w:t>
      </w:r>
      <w:r w:rsidR="00C44E74">
        <w:t>IMR is configured by higher layers semi-static</w:t>
      </w:r>
      <w:r>
        <w:t>ally</w:t>
      </w:r>
      <w:r w:rsidR="00301022">
        <w:t xml:space="preserve"> and it is using non-coherent estimation (e.g. by energy detection)</w:t>
      </w:r>
      <w:r w:rsidR="00C44E74">
        <w:t xml:space="preserve">. For aperiodic CSI measurements, the IMR would corresponds to REs in a single slot only, while for periodic and semi-persistent CSI measurements, the IMR would also have a periodicity </w:t>
      </w:r>
      <w:r w:rsidR="00540278">
        <w:t xml:space="preserve">(every N:th slot and a slot offset) </w:t>
      </w:r>
      <w:r w:rsidR="00C44E74">
        <w:t xml:space="preserve">assigned to it. </w:t>
      </w:r>
    </w:p>
    <w:p w14:paraId="33D756DB" w14:textId="4B2B88BB" w:rsidR="00540278" w:rsidRDefault="00A218C8" w:rsidP="00B07D9F">
      <w:r>
        <w:t>In LTE, the IMR is restricted to a 5ms periodicity grid, which is inflexible and would create problems for TDD operation in NR. Hence, in</w:t>
      </w:r>
      <w:r w:rsidR="00540278">
        <w:t xml:space="preserve"> the periodic and semi-persistent cases, it should </w:t>
      </w:r>
      <w:r>
        <w:t xml:space="preserve">in NR </w:t>
      </w:r>
      <w:r w:rsidR="00540278">
        <w:t xml:space="preserve">be possible to aggregate multiple such periodic IMRs (e.g. with different slot offsets) into a multi-slot IMR and this aggregation then defines a new, single, IMR resource. </w:t>
      </w:r>
      <w:r>
        <w:t xml:space="preserve">Moreover, there should be a greater flexibility in the setting of IMR periodicity. </w:t>
      </w:r>
    </w:p>
    <w:p w14:paraId="44803714" w14:textId="0421ED01" w:rsidR="000763F4" w:rsidRDefault="000763F4" w:rsidP="000763F4">
      <w:pPr>
        <w:pStyle w:val="Proposal"/>
      </w:pPr>
      <w:bookmarkStart w:id="1" w:name="_Toc471125235"/>
      <w:bookmarkStart w:id="2" w:name="_Toc471300382"/>
      <w:r>
        <w:t>A periodic or semi-persistent IMR, consist of one or multiple, aggregated periodic IMR resources</w:t>
      </w:r>
      <w:bookmarkEnd w:id="1"/>
      <w:r w:rsidR="00A218C8">
        <w:t xml:space="preserve"> (which may have different periodicity and/or slot offsets) is supported</w:t>
      </w:r>
      <w:bookmarkEnd w:id="2"/>
    </w:p>
    <w:p w14:paraId="5729DFA7" w14:textId="452C1E0D" w:rsidR="00A218C8" w:rsidRDefault="00301022" w:rsidP="00B07D9F">
      <w:r>
        <w:t>A problem by using IMRs in LTE is the overhead when many different transmission hypotheses should be supported in the area served by the gNB</w:t>
      </w:r>
      <w:r w:rsidR="00A218C8">
        <w:t>,</w:t>
      </w:r>
      <w:r>
        <w:t xml:space="preserve"> as each hypothesis requires one IMR.</w:t>
      </w:r>
      <w:r w:rsidR="00A218C8">
        <w:t xml:space="preserve"> To support CoMP with multiple gNB or MU-MIMO across multiple possible co-scheduled UEs in different beam directions, a large number of IMRs needs to be configured and this consumes resources that could have been used for PDSCH. </w:t>
      </w:r>
    </w:p>
    <w:p w14:paraId="69D6A9C6" w14:textId="390BAA97" w:rsidR="00A218C8" w:rsidRDefault="00301022" w:rsidP="00B07D9F">
      <w:r>
        <w:t xml:space="preserve">A different approach is to utilize emulated interference, where </w:t>
      </w:r>
      <w:r w:rsidR="00A218C8">
        <w:t>one or multiple</w:t>
      </w:r>
      <w:r>
        <w:t xml:space="preserve"> UE</w:t>
      </w:r>
      <w:r w:rsidR="00A218C8">
        <w:t>s</w:t>
      </w:r>
      <w:r>
        <w:t xml:space="preserve"> measures on a CSI-RS resource and considers this coherent measurement to be an interferer. Hence, the UE use the coherently estimated channel as a</w:t>
      </w:r>
      <w:r w:rsidR="00A218C8">
        <w:t xml:space="preserve">n interferer when computing CSI and a CSI-RS that is used as desired signal for one UE may be used as an interferer for another UE. </w:t>
      </w:r>
      <w:r>
        <w:t xml:space="preserve"> </w:t>
      </w:r>
    </w:p>
    <w:p w14:paraId="6A9B8756" w14:textId="74CDB257" w:rsidR="001C0D2A" w:rsidRDefault="001C0D2A" w:rsidP="00B07D9F">
      <w:r>
        <w:t xml:space="preserve">This approach is useful in some cases (MU-MIMO, CoMP,..) and should be supported in NR as a complement to the non-coherent </w:t>
      </w:r>
      <w:r w:rsidR="00A75A44">
        <w:t>method</w:t>
      </w:r>
      <w:r>
        <w:t>.</w:t>
      </w:r>
      <w:r w:rsidR="00A75A44">
        <w:t xml:space="preserve"> In this case, the IMR </w:t>
      </w:r>
      <w:r w:rsidR="00A218C8">
        <w:t>could be configured to have</w:t>
      </w:r>
      <w:r w:rsidR="00A75A44">
        <w:t xml:space="preserve"> two components, some IMR </w:t>
      </w:r>
      <w:r w:rsidR="00A218C8">
        <w:t>are using NZP</w:t>
      </w:r>
      <w:r w:rsidR="00A75A44">
        <w:t xml:space="preserve"> CSI-RS and some others are used for non-coherent interference estimation as in LTE. </w:t>
      </w:r>
    </w:p>
    <w:p w14:paraId="582EDD26" w14:textId="2319EFA6" w:rsidR="00301022" w:rsidRDefault="00A75A44" w:rsidP="00A75A44">
      <w:pPr>
        <w:pStyle w:val="Proposal"/>
      </w:pPr>
      <w:bookmarkStart w:id="3" w:name="_Toc471125236"/>
      <w:bookmarkStart w:id="4" w:name="_Toc471300383"/>
      <w:r>
        <w:t>IMR can be of two types, supporting either non-coherent interference estimation or coherent estimation using a CSI-RS</w:t>
      </w:r>
      <w:r w:rsidR="00A23C0B">
        <w:t xml:space="preserve"> overlapping with the IMR</w:t>
      </w:r>
      <w:bookmarkEnd w:id="3"/>
      <w:bookmarkEnd w:id="4"/>
    </w:p>
    <w:p w14:paraId="079FD5EA" w14:textId="71B5D677" w:rsidR="00301022" w:rsidRDefault="00A75A44" w:rsidP="00B07D9F">
      <w:r>
        <w:t>Moreover, another issue is whether the IMR is defined with the same mechanisms as CSI-RS (i.e. IMR pattern configuration reuse</w:t>
      </w:r>
      <w:r w:rsidR="00A218C8">
        <w:t>s</w:t>
      </w:r>
      <w:r>
        <w:t xml:space="preserve"> the CSI-RS resource configuration). The benefit of this would be o</w:t>
      </w:r>
      <w:r w:rsidRPr="00A75A44">
        <w:t xml:space="preserve">ne less pattern to design, </w:t>
      </w:r>
      <w:r>
        <w:t xml:space="preserve">and it </w:t>
      </w:r>
      <w:r w:rsidRPr="00A75A44">
        <w:t>puts fewer constraints on remaining signals in resource element grid</w:t>
      </w:r>
      <w:r>
        <w:t xml:space="preserve"> (rate matching) and</w:t>
      </w:r>
      <w:r w:rsidRPr="00A75A44">
        <w:t xml:space="preserve"> no need to introduce empty RE for </w:t>
      </w:r>
      <w:r>
        <w:t>IMR</w:t>
      </w:r>
      <w:r w:rsidRPr="00A75A44">
        <w:t xml:space="preserve"> (</w:t>
      </w:r>
      <w:r>
        <w:t xml:space="preserve">as </w:t>
      </w:r>
      <w:r w:rsidRPr="00A75A44">
        <w:t xml:space="preserve">reuse </w:t>
      </w:r>
      <w:r>
        <w:t xml:space="preserve">of </w:t>
      </w:r>
      <w:r w:rsidRPr="00A75A44">
        <w:t>ZP CSI-RS</w:t>
      </w:r>
      <w:r>
        <w:t xml:space="preserve"> is possible). It is also</w:t>
      </w:r>
      <w:r w:rsidRPr="00A75A44">
        <w:t xml:space="preserve"> easy to make sure NZP CSI-RS completely collides (or does not collide at all) with </w:t>
      </w:r>
      <w:r>
        <w:t>IMR in case of coherent estimation is used.</w:t>
      </w:r>
    </w:p>
    <w:p w14:paraId="068932F4" w14:textId="3174D5D0" w:rsidR="00301022" w:rsidRDefault="00A75A44" w:rsidP="00A218C8">
      <w:r>
        <w:t xml:space="preserve">The drawback of this restriction is that there are fewer choices for IMR and the periodic pattern requirement is not strictly needed. However, if also coherent estimation of interference using CSI-RS is supported, there </w:t>
      </w:r>
      <w:r w:rsidR="00A23C0B">
        <w:t xml:space="preserve">is less motivation for this expansion of the number of possible IMRs. </w:t>
      </w:r>
    </w:p>
    <w:p w14:paraId="6C624A81" w14:textId="1CF463F9" w:rsidR="00A23C0B" w:rsidRPr="00A23C0B" w:rsidRDefault="00A23C0B" w:rsidP="00A23C0B">
      <w:pPr>
        <w:pStyle w:val="Proposal"/>
        <w:rPr>
          <w:lang w:eastAsia="sv-SE"/>
        </w:rPr>
      </w:pPr>
      <w:bookmarkStart w:id="5" w:name="_Toc471125237"/>
      <w:bookmarkStart w:id="6" w:name="_Toc471300384"/>
      <w:r>
        <w:rPr>
          <w:lang w:eastAsia="sv-SE"/>
        </w:rPr>
        <w:t>IMR is re-using the same resource definitions as CSI-RS resources, i.e. an IMR is overlapping with a potential CSI-RS resource</w:t>
      </w:r>
      <w:bookmarkEnd w:id="5"/>
      <w:bookmarkEnd w:id="6"/>
      <w:r>
        <w:rPr>
          <w:lang w:eastAsia="sv-SE"/>
        </w:rPr>
        <w:t xml:space="preserve"> </w:t>
      </w:r>
    </w:p>
    <w:p w14:paraId="2871A0BF" w14:textId="0627C1D5" w:rsidR="00A079D8" w:rsidRDefault="00A079D8" w:rsidP="00A079D8">
      <w:pPr>
        <w:pStyle w:val="BodyText"/>
      </w:pPr>
    </w:p>
    <w:p w14:paraId="4D0C56FD" w14:textId="77777777" w:rsidR="00C01F33" w:rsidRPr="00CE0424" w:rsidRDefault="00C01F33" w:rsidP="003A0E41">
      <w:pPr>
        <w:pStyle w:val="Heading1"/>
      </w:pPr>
      <w:r w:rsidRPr="00CE0424">
        <w:lastRenderedPageBreak/>
        <w:t>Conclusion</w:t>
      </w:r>
      <w:r w:rsidR="00AE2FEB">
        <w:t>s</w:t>
      </w:r>
    </w:p>
    <w:p w14:paraId="1EDE966C" w14:textId="77777777" w:rsidR="00F07C24"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5C3D6129" w14:textId="77777777" w:rsidR="00F07C24" w:rsidRPr="00F07C24" w:rsidRDefault="00F07C24">
      <w:pPr>
        <w:pStyle w:val="TOC1"/>
        <w:rPr>
          <w:rFonts w:asciiTheme="minorHAnsi" w:eastAsiaTheme="minorEastAsia" w:hAnsiTheme="minorHAnsi" w:cstheme="minorBidi"/>
          <w:b w:val="0"/>
          <w:sz w:val="22"/>
          <w:lang w:eastAsia="sv-SE"/>
        </w:rPr>
      </w:pPr>
      <w:r>
        <w:t>Proposal 1</w:t>
      </w:r>
      <w:r w:rsidRPr="00F07C24">
        <w:rPr>
          <w:rFonts w:asciiTheme="minorHAnsi" w:eastAsiaTheme="minorEastAsia" w:hAnsiTheme="minorHAnsi" w:cstheme="minorBidi"/>
          <w:b w:val="0"/>
          <w:sz w:val="22"/>
          <w:lang w:eastAsia="sv-SE"/>
        </w:rPr>
        <w:tab/>
      </w:r>
      <w:r>
        <w:t>A periodic or semi-persistent IMR, consist of one or multiple, aggregated periodic IMR resources (which may have different periodicity and/or slot offsets) is supported</w:t>
      </w:r>
    </w:p>
    <w:p w14:paraId="39C53704" w14:textId="77777777" w:rsidR="00F07C24" w:rsidRPr="00F07C24" w:rsidRDefault="00F07C24">
      <w:pPr>
        <w:pStyle w:val="TOC1"/>
        <w:rPr>
          <w:rFonts w:asciiTheme="minorHAnsi" w:eastAsiaTheme="minorEastAsia" w:hAnsiTheme="minorHAnsi" w:cstheme="minorBidi"/>
          <w:b w:val="0"/>
          <w:sz w:val="22"/>
          <w:lang w:eastAsia="sv-SE"/>
        </w:rPr>
      </w:pPr>
      <w:r>
        <w:t>Proposal 2</w:t>
      </w:r>
      <w:r w:rsidRPr="00F07C24">
        <w:rPr>
          <w:rFonts w:asciiTheme="minorHAnsi" w:eastAsiaTheme="minorEastAsia" w:hAnsiTheme="minorHAnsi" w:cstheme="minorBidi"/>
          <w:b w:val="0"/>
          <w:sz w:val="22"/>
          <w:lang w:eastAsia="sv-SE"/>
        </w:rPr>
        <w:tab/>
      </w:r>
      <w:r>
        <w:t>IMR can be of two types, supporting either non-coherent interference estimation or coherent estimation using a CSI-RS overlapping with the IMR</w:t>
      </w:r>
    </w:p>
    <w:p w14:paraId="5DDC551D" w14:textId="77777777" w:rsidR="00F07C24" w:rsidRPr="00F07C24" w:rsidRDefault="00F07C24">
      <w:pPr>
        <w:pStyle w:val="TOC1"/>
        <w:rPr>
          <w:rFonts w:asciiTheme="minorHAnsi" w:eastAsiaTheme="minorEastAsia" w:hAnsiTheme="minorHAnsi" w:cstheme="minorBidi"/>
          <w:b w:val="0"/>
          <w:sz w:val="22"/>
          <w:lang w:eastAsia="sv-SE"/>
        </w:rPr>
      </w:pPr>
      <w:r>
        <w:rPr>
          <w:lang w:eastAsia="sv-SE"/>
        </w:rPr>
        <w:t>Proposal 3</w:t>
      </w:r>
      <w:r w:rsidRPr="00F07C24">
        <w:rPr>
          <w:rFonts w:asciiTheme="minorHAnsi" w:eastAsiaTheme="minorEastAsia" w:hAnsiTheme="minorHAnsi" w:cstheme="minorBidi"/>
          <w:b w:val="0"/>
          <w:sz w:val="22"/>
          <w:lang w:eastAsia="sv-SE"/>
        </w:rPr>
        <w:tab/>
      </w:r>
      <w:r>
        <w:rPr>
          <w:lang w:eastAsia="sv-SE"/>
        </w:rPr>
        <w:t>IMR is re-using the same resource definitions as CSI-RS resources, i.e. an IMR is overlapping with a potential CSI-RS resource</w:t>
      </w:r>
    </w:p>
    <w:p w14:paraId="74A4133E" w14:textId="36BBD76D" w:rsidR="00C01F33" w:rsidRPr="00790B99" w:rsidRDefault="00E5689D" w:rsidP="00E5689D">
      <w:pPr>
        <w:pStyle w:val="BodyText"/>
        <w:rPr>
          <w:b/>
          <w:bCs/>
        </w:rPr>
      </w:pPr>
      <w:r>
        <w:rPr>
          <w:b/>
          <w:bCs/>
        </w:rPr>
        <w:fldChar w:fldCharType="end"/>
      </w:r>
    </w:p>
    <w:sectPr w:rsidR="00C01F33" w:rsidRPr="00790B99"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EB652" w14:textId="77777777" w:rsidR="008D30B2" w:rsidRDefault="008D30B2">
      <w:r>
        <w:separator/>
      </w:r>
    </w:p>
  </w:endnote>
  <w:endnote w:type="continuationSeparator" w:id="0">
    <w:p w14:paraId="431613C2" w14:textId="77777777" w:rsidR="008D30B2" w:rsidRDefault="008D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034D4C4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71C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71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281E4" w14:textId="77777777" w:rsidR="008D30B2" w:rsidRDefault="008D30B2">
      <w:r>
        <w:separator/>
      </w:r>
    </w:p>
  </w:footnote>
  <w:footnote w:type="continuationSeparator" w:id="0">
    <w:p w14:paraId="155FF3C4" w14:textId="77777777" w:rsidR="008D30B2" w:rsidRDefault="008D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18"/>
  </w:num>
  <w:num w:numId="17">
    <w:abstractNumId w:val="20"/>
  </w:num>
  <w:num w:numId="18">
    <w:abstractNumId w:val="19"/>
  </w:num>
  <w:num w:numId="19">
    <w:abstractNumId w:val="4"/>
  </w:num>
  <w:num w:numId="20">
    <w:abstractNumId w:val="5"/>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5A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4F56"/>
    <w:rsid w:val="00446488"/>
    <w:rsid w:val="004517AA"/>
    <w:rsid w:val="00452CAC"/>
    <w:rsid w:val="00457565"/>
    <w:rsid w:val="00457B71"/>
    <w:rsid w:val="004669E2"/>
    <w:rsid w:val="004703C8"/>
    <w:rsid w:val="00470C31"/>
    <w:rsid w:val="00470D48"/>
    <w:rsid w:val="004734D0"/>
    <w:rsid w:val="0047556B"/>
    <w:rsid w:val="00477768"/>
    <w:rsid w:val="00480C5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278"/>
    <w:rsid w:val="00546970"/>
    <w:rsid w:val="00554192"/>
    <w:rsid w:val="00554E19"/>
    <w:rsid w:val="0056121F"/>
    <w:rsid w:val="00572505"/>
    <w:rsid w:val="00575DA6"/>
    <w:rsid w:val="00582809"/>
    <w:rsid w:val="0058798C"/>
    <w:rsid w:val="005900FA"/>
    <w:rsid w:val="005935A4"/>
    <w:rsid w:val="00593B0A"/>
    <w:rsid w:val="005948C2"/>
    <w:rsid w:val="00595DCA"/>
    <w:rsid w:val="0059779B"/>
    <w:rsid w:val="005A209A"/>
    <w:rsid w:val="005A662D"/>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0B2"/>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6086"/>
    <w:rsid w:val="009B7E87"/>
    <w:rsid w:val="009C403E"/>
    <w:rsid w:val="009C6832"/>
    <w:rsid w:val="009D4FF0"/>
    <w:rsid w:val="009D703C"/>
    <w:rsid w:val="009D718F"/>
    <w:rsid w:val="009E068F"/>
    <w:rsid w:val="009E14E0"/>
    <w:rsid w:val="009E35DB"/>
    <w:rsid w:val="009E47A3"/>
    <w:rsid w:val="009F08F3"/>
    <w:rsid w:val="009F344F"/>
    <w:rsid w:val="00A00DE1"/>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A44"/>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2280"/>
    <w:rsid w:val="00BA2674"/>
    <w:rsid w:val="00BA2A08"/>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E74"/>
    <w:rsid w:val="00C54995"/>
    <w:rsid w:val="00C54D41"/>
    <w:rsid w:val="00C60783"/>
    <w:rsid w:val="00C64672"/>
    <w:rsid w:val="00C70697"/>
    <w:rsid w:val="00C72EF4"/>
    <w:rsid w:val="00C75D2F"/>
    <w:rsid w:val="00C767BE"/>
    <w:rsid w:val="00C76E3C"/>
    <w:rsid w:val="00C81568"/>
    <w:rsid w:val="00C9027A"/>
    <w:rsid w:val="00C9068E"/>
    <w:rsid w:val="00C91079"/>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171C7"/>
    <w:rsid w:val="00D239A7"/>
    <w:rsid w:val="00D23F47"/>
    <w:rsid w:val="00D36E71"/>
    <w:rsid w:val="00D37D87"/>
    <w:rsid w:val="00D40B33"/>
    <w:rsid w:val="00D4318F"/>
    <w:rsid w:val="00D438BF"/>
    <w:rsid w:val="00D440F8"/>
    <w:rsid w:val="00D546FF"/>
    <w:rsid w:val="00D55AD5"/>
    <w:rsid w:val="00D576CA"/>
    <w:rsid w:val="00D61AF5"/>
    <w:rsid w:val="00D62A62"/>
    <w:rsid w:val="00D652B5"/>
    <w:rsid w:val="00D66130"/>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8CD"/>
    <w:rsid w:val="00DC2D36"/>
    <w:rsid w:val="00DC53EF"/>
    <w:rsid w:val="00DE5608"/>
    <w:rsid w:val="00DE58D0"/>
    <w:rsid w:val="00DE654F"/>
    <w:rsid w:val="00DF0B6E"/>
    <w:rsid w:val="00DF15E0"/>
    <w:rsid w:val="00DF37A0"/>
    <w:rsid w:val="00DF487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5AF2"/>
    <w:rsid w:val="00EF60D0"/>
    <w:rsid w:val="00F0528D"/>
    <w:rsid w:val="00F06C67"/>
    <w:rsid w:val="00F06DFD"/>
    <w:rsid w:val="00F071D1"/>
    <w:rsid w:val="00F07533"/>
    <w:rsid w:val="00F07C24"/>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uiPriority w:val="99"/>
    <w:semiHidden/>
    <w:rsid w:val="00A85C6C"/>
    <w:rPr>
      <w:sz w:val="16"/>
      <w:szCs w:val="16"/>
    </w:rPr>
  </w:style>
  <w:style w:type="paragraph" w:styleId="CommentText">
    <w:name w:val="annotation text"/>
    <w:basedOn w:val="Normal"/>
    <w:link w:val="CommentTextChar"/>
    <w:uiPriority w:val="99"/>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uiPriority w:val="99"/>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63B78-C218-4FB2-B954-8C646087B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2</Pages>
  <Words>696</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2017-01-09T09:47:00Z</dcterms:created>
  <dcterms:modified xsi:type="dcterms:W3CDTF">2017-01-09T09:47:00Z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